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R4-20060</w:t>
      </w:r>
      <w:r>
        <w:rPr>
          <w:rFonts w:hint="eastAsia" w:ascii="Arial" w:hAnsi="Arial" w:eastAsia="宋体" w:cs="Times New Roman"/>
          <w:b/>
          <w:bCs/>
          <w:sz w:val="24"/>
          <w:szCs w:val="24"/>
          <w:lang w:val="en-US" w:eastAsia="zh-CN"/>
        </w:rPr>
        <w:t>18</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PRS-RSTD measurements for NR positioning</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6.8.2.1.1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94-e, the topic of PRS-RSTD requirements for NR positioning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5"/>
              <w:spacing w:after="200" w:line="276" w:lineRule="auto"/>
              <w:ind w:left="0" w:leftChars="0"/>
              <w:contextualSpacing/>
              <w:jc w:val="center"/>
            </w:pPr>
          </w:p>
          <w:p>
            <w:pPr>
              <w:pStyle w:val="25"/>
              <w:spacing w:after="200" w:line="276" w:lineRule="auto"/>
              <w:ind w:left="0" w:leftChars="0"/>
              <w:contextualSpacing/>
              <w:jc w:val="left"/>
              <w:rPr>
                <w:rFonts w:hint="eastAsia"/>
                <w:lang w:val="en-US" w:eastAsia="zh-CN"/>
              </w:rPr>
            </w:pPr>
            <w:r>
              <w:rPr>
                <w:rFonts w:hint="eastAsia"/>
                <w:lang w:val="en-US" w:eastAsia="zh-CN"/>
              </w:rPr>
              <w:t>RAN4 to define intra-frequency and inter-frequency RSTD measurements and the corresponding requirements</w:t>
            </w:r>
          </w:p>
          <w:p>
            <w:pPr>
              <w:pStyle w:val="25"/>
              <w:spacing w:after="200" w:line="276" w:lineRule="auto"/>
              <w:ind w:left="0" w:leftChars="0"/>
              <w:contextualSpacing/>
              <w:jc w:val="left"/>
              <w:rPr>
                <w:rFonts w:hint="eastAsia"/>
                <w:lang w:val="en-US" w:eastAsia="zh-CN"/>
              </w:rPr>
            </w:pPr>
          </w:p>
          <w:p>
            <w:pPr>
              <w:pStyle w:val="25"/>
              <w:spacing w:after="200" w:line="276" w:lineRule="auto"/>
              <w:ind w:left="0" w:leftChars="0"/>
              <w:contextualSpacing/>
              <w:jc w:val="left"/>
              <w:rPr>
                <w:rFonts w:hint="eastAsia"/>
                <w:lang w:val="en-US" w:eastAsia="zh-CN"/>
              </w:rPr>
            </w:pPr>
            <w:r>
              <w:rPr>
                <w:rFonts w:hint="eastAsia"/>
                <w:lang w:val="en-US" w:eastAsia="zh-CN"/>
              </w:rPr>
              <w:t>Candidate options for definition of intra-/inter-frequency:</w:t>
            </w:r>
          </w:p>
          <w:p>
            <w:pPr>
              <w:pStyle w:val="25"/>
              <w:spacing w:after="200" w:line="276" w:lineRule="auto"/>
              <w:ind w:left="0" w:leftChars="0"/>
              <w:contextualSpacing/>
              <w:jc w:val="left"/>
              <w:rPr>
                <w:rFonts w:hint="eastAsia"/>
                <w:lang w:val="en-US" w:eastAsia="zh-CN"/>
              </w:rPr>
            </w:pPr>
            <w:r>
              <w:rPr>
                <w:rFonts w:hint="eastAsia"/>
                <w:lang w:val="en-US" w:eastAsia="zh-CN"/>
              </w:rPr>
              <w:t xml:space="preserve">Option 1. Intra-frequency RSTD measurement is defined as when the neighbor DL PRS resource and the reference DL PRS resource belong to the same positioning frequency layer. Otherwise, the RSTD measurement is inter-frequency. </w:t>
            </w:r>
          </w:p>
          <w:p>
            <w:pPr>
              <w:pStyle w:val="25"/>
              <w:spacing w:after="200" w:line="276" w:lineRule="auto"/>
              <w:ind w:left="0" w:leftChars="0"/>
              <w:contextualSpacing/>
              <w:jc w:val="left"/>
              <w:rPr>
                <w:rFonts w:hint="eastAsia"/>
                <w:lang w:val="en-US" w:eastAsia="zh-CN"/>
              </w:rPr>
            </w:pPr>
          </w:p>
          <w:p>
            <w:pPr>
              <w:pStyle w:val="25"/>
              <w:spacing w:after="200" w:line="276" w:lineRule="auto"/>
              <w:ind w:left="0" w:leftChars="0"/>
              <w:contextualSpacing/>
              <w:jc w:val="left"/>
              <w:rPr>
                <w:rFonts w:hint="eastAsia"/>
                <w:lang w:val="en-US" w:eastAsia="zh-CN"/>
              </w:rPr>
            </w:pPr>
            <w:r>
              <w:rPr>
                <w:rFonts w:hint="eastAsia"/>
                <w:lang w:val="en-US" w:eastAsia="zh-CN"/>
              </w:rPr>
              <w:t xml:space="preserve">Option 2. Intra-frequency RSTD measurement is defined when neighbor DL PRS resource and reference DL PRS resource belong to the same positioning frequency layer and the BW of the positioning frequency layer is within the BW of UE’s active DL BWP. Otherwise, the RSTD measurement is inter-frequency. </w:t>
            </w:r>
          </w:p>
          <w:p>
            <w:pPr>
              <w:pStyle w:val="25"/>
              <w:spacing w:after="200" w:line="276" w:lineRule="auto"/>
              <w:ind w:left="0" w:leftChars="0"/>
              <w:contextualSpacing/>
              <w:jc w:val="left"/>
              <w:rPr>
                <w:rFonts w:hint="eastAsia"/>
                <w:lang w:val="en-US" w:eastAsia="zh-CN"/>
              </w:rPr>
            </w:pPr>
          </w:p>
          <w:p>
            <w:pPr>
              <w:pStyle w:val="25"/>
              <w:spacing w:after="200" w:line="276" w:lineRule="auto"/>
              <w:ind w:left="0" w:leftChars="0"/>
              <w:contextualSpacing/>
              <w:jc w:val="left"/>
              <w:rPr>
                <w:rFonts w:hint="eastAsia"/>
                <w:lang w:val="en-US" w:eastAsia="zh-CN"/>
              </w:rPr>
            </w:pPr>
            <w:r>
              <w:rPr>
                <w:rFonts w:hint="eastAsia"/>
                <w:lang w:val="en-US" w:eastAsia="zh-CN"/>
              </w:rPr>
              <w:t xml:space="preserve">Option 2a: Intra-frequency RSTD measurement is defined when the BW of the positioning frequency layer is within the BW of UE’s active DL BWP and SCS of PRS is same as the SCS of UEs’s active DL BWP. Otherwise, the RSTD measurement is inter-frequency. </w:t>
            </w:r>
          </w:p>
          <w:p>
            <w:pPr>
              <w:pStyle w:val="25"/>
              <w:spacing w:after="200" w:line="276" w:lineRule="auto"/>
              <w:ind w:left="0" w:leftChars="0"/>
              <w:contextualSpacing/>
              <w:jc w:val="left"/>
              <w:rPr>
                <w:rFonts w:hint="eastAsia"/>
                <w:lang w:val="en-US" w:eastAsia="zh-CN"/>
              </w:rPr>
            </w:pPr>
          </w:p>
          <w:p>
            <w:pPr>
              <w:pStyle w:val="25"/>
              <w:spacing w:after="200" w:line="276" w:lineRule="auto"/>
              <w:ind w:left="0" w:leftChars="0"/>
              <w:contextualSpacing/>
              <w:jc w:val="left"/>
              <w:rPr>
                <w:rFonts w:hint="eastAsia"/>
                <w:lang w:val="en-US" w:eastAsia="zh-CN"/>
              </w:rPr>
            </w:pPr>
            <w:r>
              <w:rPr>
                <w:rFonts w:hint="eastAsia"/>
                <w:lang w:val="en-US" w:eastAsia="zh-CN"/>
              </w:rPr>
              <w:t>Option 3. Intra-frequency RSTD measurement: the center frequency of PRS BW is the center frequency of an serving cell SSB and has the same SCS as that of the serving cell SSB, otherwise it is inter-frequency. (NOTE: for RSTD, the above conditions are met for both reference and the other DL links)</w:t>
            </w:r>
          </w:p>
          <w:p>
            <w:pPr>
              <w:pStyle w:val="25"/>
              <w:spacing w:after="200" w:line="276" w:lineRule="auto"/>
              <w:ind w:left="0" w:leftChars="0"/>
              <w:contextualSpacing/>
              <w:jc w:val="left"/>
              <w:rPr>
                <w:rFonts w:hint="eastAsia"/>
                <w:lang w:val="en-US" w:eastAsia="zh-CN"/>
              </w:rPr>
            </w:pPr>
          </w:p>
          <w:p>
            <w:pPr>
              <w:pStyle w:val="25"/>
              <w:spacing w:after="200" w:line="276" w:lineRule="auto"/>
              <w:ind w:left="0" w:leftChars="0"/>
              <w:contextualSpacing/>
              <w:jc w:val="left"/>
              <w:rPr>
                <w:rFonts w:hint="eastAsia"/>
                <w:lang w:val="en-US" w:eastAsia="zh-CN"/>
              </w:rPr>
            </w:pPr>
            <w:r>
              <w:rPr>
                <w:rFonts w:hint="eastAsia"/>
                <w:lang w:val="en-US" w:eastAsia="zh-CN"/>
              </w:rPr>
              <w:t>Option 4. Intra-frequency RSTD measurement is defined if the PRS resources to be measured are in the same positioning frequency layer, or the PRS resource to be measure are not in the same positioning frequency layer but have the same SCS and center frequency, and the bandwidth are all within the active BWP. Otherwise, the RSTD measurement is inter-frequency</w:t>
            </w:r>
          </w:p>
        </w:tc>
      </w:tr>
    </w:tbl>
    <w:p>
      <w:pPr>
        <w:pStyle w:val="35"/>
        <w:numPr>
          <w:ilvl w:val="0"/>
          <w:numId w:val="0"/>
        </w:numPr>
        <w:ind w:leftChars="0"/>
        <w:rPr>
          <w:rFonts w:hint="default"/>
          <w:b w:val="0"/>
          <w:bCs/>
          <w:sz w:val="22"/>
          <w:szCs w:val="22"/>
          <w:lang w:val="en-US" w:eastAsia="zh-CN"/>
        </w:rPr>
      </w:pPr>
      <w:r>
        <w:rPr>
          <w:rFonts w:hint="eastAsia"/>
          <w:b w:val="0"/>
          <w:bCs/>
          <w:sz w:val="22"/>
          <w:szCs w:val="22"/>
          <w:lang w:val="en-US" w:eastAsia="zh-CN"/>
        </w:rPr>
        <w:t>In RAN4 94-e-bis, the following options are captured in WF [2]:</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843" w:type="dxa"/>
          </w:tcPr>
          <w:p>
            <w:pPr>
              <w:rPr>
                <w:rFonts w:hint="default"/>
                <w:vertAlign w:val="baseline"/>
                <w:lang w:val="en-US" w:eastAsia="zh-CN"/>
              </w:rPr>
            </w:pPr>
            <w:r>
              <w:drawing>
                <wp:inline distT="0" distB="0" distL="114300" distR="114300">
                  <wp:extent cx="5349240" cy="3038475"/>
                  <wp:effectExtent l="0" t="0" r="381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349240" cy="3038475"/>
                          </a:xfrm>
                          <a:prstGeom prst="rect">
                            <a:avLst/>
                          </a:prstGeom>
                          <a:noFill/>
                          <a:ln>
                            <a:noFill/>
                          </a:ln>
                        </pic:spPr>
                      </pic:pic>
                    </a:graphicData>
                  </a:graphic>
                </wp:inline>
              </w:drawing>
            </w:r>
          </w:p>
        </w:tc>
      </w:tr>
    </w:tbl>
    <w:p>
      <w:pPr>
        <w:rPr>
          <w:rFonts w:hint="default"/>
          <w:lang w:val="en-US" w:eastAsia="zh-CN"/>
        </w:rPr>
      </w:pPr>
    </w:p>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[2] and provide our view.</w:t>
      </w:r>
    </w:p>
    <w:p>
      <w:pPr>
        <w:pStyle w:val="27"/>
        <w:jc w:val="both"/>
        <w:rPr>
          <w:rFonts w:hint="default" w:eastAsia="宋体"/>
          <w:lang w:val="en-US" w:eastAsia="zh-CN"/>
        </w:rPr>
      </w:pPr>
      <w:r>
        <w:t>2</w:t>
      </w:r>
      <w:r>
        <w:tab/>
      </w:r>
      <w:r>
        <w:rPr>
          <w:rFonts w:hint="eastAsia"/>
          <w:lang w:val="en-US" w:eastAsia="zh-CN"/>
        </w:rPr>
        <w:t>Pending issues</w:t>
      </w:r>
    </w:p>
    <w:p>
      <w:pPr>
        <w:rPr>
          <w:rFonts w:hint="default" w:eastAsia="宋体"/>
          <w:sz w:val="22"/>
          <w:szCs w:val="22"/>
          <w:lang w:val="en-US" w:eastAsia="zh-CN"/>
        </w:rPr>
      </w:pPr>
      <w:r>
        <w:rPr>
          <w:rFonts w:hint="eastAsia" w:eastAsia="宋体"/>
          <w:sz w:val="22"/>
          <w:szCs w:val="22"/>
          <w:lang w:val="en-US" w:eastAsia="zh-CN"/>
        </w:rPr>
        <w:t>First we think this issue is mainly a naming issue since the requirements will be made for measurements with MG and measurements without MG anyways. But as companies pointed out during the last meeting that RAN1 is expecting RAN4 to finalize on the definition of intra-frequency and inter-frequency PRS-RSTD measurement, it</w:t>
      </w:r>
      <w:r>
        <w:rPr>
          <w:rFonts w:hint="default" w:eastAsia="宋体"/>
          <w:sz w:val="22"/>
          <w:szCs w:val="22"/>
          <w:lang w:val="en-US" w:eastAsia="zh-CN"/>
        </w:rPr>
        <w:t>’</w:t>
      </w:r>
      <w:r>
        <w:rPr>
          <w:rFonts w:hint="eastAsia" w:eastAsia="宋体"/>
          <w:sz w:val="22"/>
          <w:szCs w:val="22"/>
          <w:lang w:val="en-US" w:eastAsia="zh-CN"/>
        </w:rPr>
        <w:t>s fine for us to settle down on this issue while still making requirements mainly based on if the measurements require a MG or not.</w:t>
      </w:r>
    </w:p>
    <w:p>
      <w:pPr>
        <w:pStyle w:val="35"/>
        <w:rPr>
          <w:rFonts w:hint="default"/>
          <w:lang w:val="en-US" w:eastAsia="zh-CN"/>
        </w:rPr>
      </w:pPr>
      <w:r>
        <w:rPr>
          <w:rFonts w:hint="eastAsia" w:eastAsia="宋体"/>
          <w:sz w:val="22"/>
          <w:szCs w:val="22"/>
          <w:lang w:val="en-US" w:eastAsia="zh-CN"/>
        </w:rPr>
        <w:t>RAN4 defines intra-f and inter-f PRS-RSTD measurements while the requirements are made mainly based on if the measurement requires a MG or not</w:t>
      </w:r>
      <w:r>
        <w:rPr>
          <w:rFonts w:hint="eastAsia"/>
          <w:sz w:val="22"/>
          <w:szCs w:val="22"/>
          <w:lang w:val="en-US" w:eastAsia="zh-CN"/>
        </w:rPr>
        <w:t>.</w:t>
      </w:r>
    </w:p>
    <w:p>
      <w:pPr>
        <w:rPr>
          <w:rFonts w:hint="default" w:eastAsia="宋体"/>
          <w:sz w:val="22"/>
          <w:szCs w:val="22"/>
          <w:lang w:val="en-US" w:eastAsia="zh-CN"/>
        </w:rPr>
      </w:pPr>
      <w:r>
        <w:rPr>
          <w:rFonts w:hint="eastAsia" w:eastAsia="宋体"/>
          <w:sz w:val="22"/>
          <w:szCs w:val="22"/>
          <w:lang w:val="en-US" w:eastAsia="zh-CN"/>
        </w:rPr>
        <w:t>If the above proposal is agreeable, we prefer to have a definition which is similar to inra-f and inter-f definition for other NR measurements. We propose to define intra- and inter- frequency measurements as Option 3 in WF [2</w:t>
      </w:r>
      <w:bookmarkStart w:id="5" w:name="_GoBack"/>
      <w:bookmarkEnd w:id="5"/>
      <w:r>
        <w:rPr>
          <w:rFonts w:hint="eastAsia" w:eastAsia="宋体"/>
          <w:sz w:val="22"/>
          <w:szCs w:val="22"/>
          <w:lang w:val="en-US" w:eastAsia="zh-CN"/>
        </w:rPr>
        <w:t>]:</w:t>
      </w:r>
    </w:p>
    <w:p>
      <w:pPr>
        <w:pStyle w:val="35"/>
        <w:rPr>
          <w:rFonts w:hint="default"/>
          <w:sz w:val="22"/>
          <w:szCs w:val="22"/>
          <w:lang w:val="en-US" w:eastAsia="zh-CN"/>
        </w:rPr>
      </w:pPr>
      <w:r>
        <w:rPr>
          <w:rFonts w:hint="eastAsia"/>
          <w:sz w:val="22"/>
          <w:szCs w:val="22"/>
          <w:lang w:val="en-US" w:eastAsia="zh-CN"/>
        </w:rPr>
        <w:t>Intra-frequency RSTD measurement: the center frequency of PRS BW is the center frequency of an serving cell SSB and has the same SCS as that of the serving cell SSB, otherwise it is inter-frequency.</w:t>
      </w:r>
    </w:p>
    <w:p>
      <w:pPr>
        <w:rPr>
          <w:rFonts w:hint="default"/>
          <w:sz w:val="22"/>
          <w:szCs w:val="22"/>
          <w:lang w:val="en-US" w:eastAsia="zh-CN"/>
        </w:rPr>
      </w:pPr>
      <w:r>
        <w:rPr>
          <w:rFonts w:hint="eastAsia"/>
          <w:sz w:val="22"/>
          <w:szCs w:val="22"/>
          <w:lang w:val="en-US" w:eastAsia="zh-CN"/>
        </w:rPr>
        <w:t>Note that by this definition, intra-frequency measurements may still require a MG. This is not a big issue for us since we think the measurement requirements would majorly depend on whether the measurement requires a MG, not if it</w:t>
      </w:r>
      <w:r>
        <w:rPr>
          <w:rFonts w:hint="default"/>
          <w:sz w:val="22"/>
          <w:szCs w:val="22"/>
          <w:lang w:val="en-US" w:eastAsia="zh-CN"/>
        </w:rPr>
        <w:t>’</w:t>
      </w:r>
      <w:r>
        <w:rPr>
          <w:rFonts w:hint="eastAsia"/>
          <w:sz w:val="22"/>
          <w:szCs w:val="22"/>
          <w:lang w:val="en-US" w:eastAsia="zh-CN"/>
        </w:rPr>
        <w:t>s intra- of inter- frequency measurement.</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val="0"/>
          <w:sz w:val="22"/>
          <w:szCs w:val="22"/>
          <w:lang w:val="en-US" w:eastAsia="zh-CN"/>
        </w:rPr>
        <w:t>RAN4 defines intra-f and inter-f PRS-RSTD measurements while the requirements are made mainly based on if the measurement requires a MG or not</w:t>
      </w:r>
      <w:r>
        <w:rPr>
          <w:rFonts w:hint="eastAsia"/>
          <w:b/>
          <w:bCs w:val="0"/>
          <w:sz w:val="22"/>
          <w:szCs w:val="22"/>
          <w:lang w:val="en-US" w:eastAsia="zh-CN"/>
        </w:rPr>
        <w:t>.</w:t>
      </w:r>
    </w:p>
    <w:p>
      <w:pPr>
        <w:rPr>
          <w:rFonts w:hint="default"/>
          <w:b/>
          <w:bCs w:val="0"/>
          <w:sz w:val="22"/>
          <w:szCs w:val="22"/>
          <w:lang w:val="en-US" w:eastAsia="zh-CN"/>
        </w:rPr>
      </w:pPr>
      <w:r>
        <w:rPr>
          <w:rFonts w:hint="eastAsia"/>
          <w:b/>
          <w:bCs w:val="0"/>
          <w:sz w:val="22"/>
          <w:szCs w:val="22"/>
          <w:lang w:val="en-US" w:eastAsia="zh-CN"/>
        </w:rPr>
        <w:t>Proposal 2: Intra-frequency RSTD measurement: the center frequency of PRS BW is the center frequency of an serving cell SSB and has the same SCS as that of the serving cell SSB, otherwise it is inter-frequency.</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R4-2002328</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R4-2005378</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auto"/>
    <w:pitch w:val="default"/>
    <w:sig w:usb0="E4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9439F5"/>
    <w:rsid w:val="01FF08B3"/>
    <w:rsid w:val="028676F2"/>
    <w:rsid w:val="028E1257"/>
    <w:rsid w:val="02B274E2"/>
    <w:rsid w:val="02BD7990"/>
    <w:rsid w:val="02C25D33"/>
    <w:rsid w:val="030809EC"/>
    <w:rsid w:val="039A1BDA"/>
    <w:rsid w:val="03AE4991"/>
    <w:rsid w:val="03C6506D"/>
    <w:rsid w:val="03F37217"/>
    <w:rsid w:val="04C77D0A"/>
    <w:rsid w:val="04D5204C"/>
    <w:rsid w:val="051F0641"/>
    <w:rsid w:val="059B61E4"/>
    <w:rsid w:val="05A86143"/>
    <w:rsid w:val="05D42FA6"/>
    <w:rsid w:val="06105DAC"/>
    <w:rsid w:val="066957D5"/>
    <w:rsid w:val="069766CC"/>
    <w:rsid w:val="07502CA2"/>
    <w:rsid w:val="078B76F8"/>
    <w:rsid w:val="079D410C"/>
    <w:rsid w:val="07D735D1"/>
    <w:rsid w:val="080A5373"/>
    <w:rsid w:val="08641205"/>
    <w:rsid w:val="0868025F"/>
    <w:rsid w:val="0873226E"/>
    <w:rsid w:val="08935729"/>
    <w:rsid w:val="08C654D4"/>
    <w:rsid w:val="08CC5D10"/>
    <w:rsid w:val="092C45E6"/>
    <w:rsid w:val="099F556C"/>
    <w:rsid w:val="09AC0546"/>
    <w:rsid w:val="09C640C3"/>
    <w:rsid w:val="0A5763D4"/>
    <w:rsid w:val="0A7BF868"/>
    <w:rsid w:val="0B7322DC"/>
    <w:rsid w:val="0BB77882"/>
    <w:rsid w:val="0C3C5307"/>
    <w:rsid w:val="0C56263C"/>
    <w:rsid w:val="0C5E2B8A"/>
    <w:rsid w:val="0D102274"/>
    <w:rsid w:val="0DA958CA"/>
    <w:rsid w:val="0DF104D3"/>
    <w:rsid w:val="0E1C586B"/>
    <w:rsid w:val="0E8A024B"/>
    <w:rsid w:val="0ED138E6"/>
    <w:rsid w:val="0F67780F"/>
    <w:rsid w:val="0F8F3C2A"/>
    <w:rsid w:val="0FB648CB"/>
    <w:rsid w:val="0FD0731A"/>
    <w:rsid w:val="0FF1533A"/>
    <w:rsid w:val="0FFE0AFA"/>
    <w:rsid w:val="10732202"/>
    <w:rsid w:val="10860ED5"/>
    <w:rsid w:val="10AA3C13"/>
    <w:rsid w:val="10CA41CF"/>
    <w:rsid w:val="10CD0B75"/>
    <w:rsid w:val="110C4D24"/>
    <w:rsid w:val="11283655"/>
    <w:rsid w:val="11F71F3A"/>
    <w:rsid w:val="122017FC"/>
    <w:rsid w:val="128409CA"/>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D1F1294"/>
    <w:rsid w:val="1D2E32A7"/>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402B64"/>
    <w:rsid w:val="2151075A"/>
    <w:rsid w:val="2187422D"/>
    <w:rsid w:val="219E74A3"/>
    <w:rsid w:val="22443C1F"/>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7C258A0"/>
    <w:rsid w:val="280C272A"/>
    <w:rsid w:val="284E33F7"/>
    <w:rsid w:val="287A3770"/>
    <w:rsid w:val="290A138C"/>
    <w:rsid w:val="293606FA"/>
    <w:rsid w:val="29517179"/>
    <w:rsid w:val="29E7086A"/>
    <w:rsid w:val="2A1219AD"/>
    <w:rsid w:val="2A394321"/>
    <w:rsid w:val="2AAF72F6"/>
    <w:rsid w:val="2AE26D3F"/>
    <w:rsid w:val="2AF125AB"/>
    <w:rsid w:val="2AF8774D"/>
    <w:rsid w:val="2AFF3EAC"/>
    <w:rsid w:val="2B0F6E62"/>
    <w:rsid w:val="2B3F4136"/>
    <w:rsid w:val="2B5F7B9D"/>
    <w:rsid w:val="2B6F3DB4"/>
    <w:rsid w:val="2B7579C5"/>
    <w:rsid w:val="2BB04900"/>
    <w:rsid w:val="2C1B2490"/>
    <w:rsid w:val="2C3A3275"/>
    <w:rsid w:val="2C495744"/>
    <w:rsid w:val="2CEE6B8D"/>
    <w:rsid w:val="2D233DAE"/>
    <w:rsid w:val="2D8E403A"/>
    <w:rsid w:val="2E145F76"/>
    <w:rsid w:val="2E504B1D"/>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042FD8"/>
    <w:rsid w:val="37705F34"/>
    <w:rsid w:val="377700B0"/>
    <w:rsid w:val="37857872"/>
    <w:rsid w:val="37AF7036"/>
    <w:rsid w:val="380927B5"/>
    <w:rsid w:val="382139EC"/>
    <w:rsid w:val="3876150B"/>
    <w:rsid w:val="38EE5F7E"/>
    <w:rsid w:val="38EF03A6"/>
    <w:rsid w:val="38F0125F"/>
    <w:rsid w:val="3900577A"/>
    <w:rsid w:val="392739EA"/>
    <w:rsid w:val="392D38AD"/>
    <w:rsid w:val="3946679B"/>
    <w:rsid w:val="394D1646"/>
    <w:rsid w:val="399A43EA"/>
    <w:rsid w:val="3A0F1960"/>
    <w:rsid w:val="3A166029"/>
    <w:rsid w:val="3AF216E5"/>
    <w:rsid w:val="3B30671A"/>
    <w:rsid w:val="3B5662AC"/>
    <w:rsid w:val="3CC5729E"/>
    <w:rsid w:val="3CCE203C"/>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7971B97"/>
    <w:rsid w:val="47C304FD"/>
    <w:rsid w:val="47C357A6"/>
    <w:rsid w:val="47D77F02"/>
    <w:rsid w:val="4815186D"/>
    <w:rsid w:val="487C3875"/>
    <w:rsid w:val="48977283"/>
    <w:rsid w:val="48BC2D0E"/>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F05EAC"/>
    <w:rsid w:val="4D102CB4"/>
    <w:rsid w:val="4D5D51F4"/>
    <w:rsid w:val="4D9E609E"/>
    <w:rsid w:val="4E0243C8"/>
    <w:rsid w:val="4E345636"/>
    <w:rsid w:val="4E652C5C"/>
    <w:rsid w:val="4EB053BD"/>
    <w:rsid w:val="4FBC6FAF"/>
    <w:rsid w:val="4FDC68F3"/>
    <w:rsid w:val="4FFF46BE"/>
    <w:rsid w:val="50005DA1"/>
    <w:rsid w:val="5041435B"/>
    <w:rsid w:val="50564CCA"/>
    <w:rsid w:val="505A1CB0"/>
    <w:rsid w:val="509778C7"/>
    <w:rsid w:val="51773E2A"/>
    <w:rsid w:val="51A40397"/>
    <w:rsid w:val="51C53170"/>
    <w:rsid w:val="5280421D"/>
    <w:rsid w:val="52BF27F0"/>
    <w:rsid w:val="535E62F0"/>
    <w:rsid w:val="5361709F"/>
    <w:rsid w:val="53705401"/>
    <w:rsid w:val="53752E8D"/>
    <w:rsid w:val="53832E83"/>
    <w:rsid w:val="53D005D1"/>
    <w:rsid w:val="540D782C"/>
    <w:rsid w:val="542F1421"/>
    <w:rsid w:val="543973F0"/>
    <w:rsid w:val="544B51D2"/>
    <w:rsid w:val="546C32BA"/>
    <w:rsid w:val="547733F4"/>
    <w:rsid w:val="54B156BA"/>
    <w:rsid w:val="54F516DC"/>
    <w:rsid w:val="5553143F"/>
    <w:rsid w:val="55B42DC5"/>
    <w:rsid w:val="56243301"/>
    <w:rsid w:val="567B20DA"/>
    <w:rsid w:val="56943FE8"/>
    <w:rsid w:val="56DA5A5F"/>
    <w:rsid w:val="577E3F1D"/>
    <w:rsid w:val="586B2608"/>
    <w:rsid w:val="5879595C"/>
    <w:rsid w:val="588331BE"/>
    <w:rsid w:val="592D7AE2"/>
    <w:rsid w:val="593554F0"/>
    <w:rsid w:val="59F967B7"/>
    <w:rsid w:val="5A3078C5"/>
    <w:rsid w:val="5ADF3A74"/>
    <w:rsid w:val="5AE53367"/>
    <w:rsid w:val="5B0B0083"/>
    <w:rsid w:val="5BC3228B"/>
    <w:rsid w:val="5BFC28DA"/>
    <w:rsid w:val="5C3B1FEA"/>
    <w:rsid w:val="5C6A01BF"/>
    <w:rsid w:val="5CEB6783"/>
    <w:rsid w:val="5D041ECD"/>
    <w:rsid w:val="5D5E1AC8"/>
    <w:rsid w:val="5E051414"/>
    <w:rsid w:val="5E206741"/>
    <w:rsid w:val="5E2D4C21"/>
    <w:rsid w:val="5E820037"/>
    <w:rsid w:val="5EE41E2E"/>
    <w:rsid w:val="5F0F00DA"/>
    <w:rsid w:val="60017F85"/>
    <w:rsid w:val="6045086B"/>
    <w:rsid w:val="60745B63"/>
    <w:rsid w:val="61051332"/>
    <w:rsid w:val="62812953"/>
    <w:rsid w:val="62B7743E"/>
    <w:rsid w:val="62B8352F"/>
    <w:rsid w:val="62EF63FA"/>
    <w:rsid w:val="632B39DC"/>
    <w:rsid w:val="64116858"/>
    <w:rsid w:val="648D5222"/>
    <w:rsid w:val="64B2258D"/>
    <w:rsid w:val="64E30C9E"/>
    <w:rsid w:val="64E86D2F"/>
    <w:rsid w:val="657204D5"/>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B52525"/>
    <w:rsid w:val="72EE3608"/>
    <w:rsid w:val="72F37E30"/>
    <w:rsid w:val="7327462F"/>
    <w:rsid w:val="732F59FD"/>
    <w:rsid w:val="734B5574"/>
    <w:rsid w:val="7355417D"/>
    <w:rsid w:val="736C3FBB"/>
    <w:rsid w:val="73A85DC8"/>
    <w:rsid w:val="73C54686"/>
    <w:rsid w:val="73E217DB"/>
    <w:rsid w:val="740F6E24"/>
    <w:rsid w:val="74285611"/>
    <w:rsid w:val="7430057A"/>
    <w:rsid w:val="74573DE9"/>
    <w:rsid w:val="74626087"/>
    <w:rsid w:val="749D37F7"/>
    <w:rsid w:val="74BC6C8B"/>
    <w:rsid w:val="74D53B99"/>
    <w:rsid w:val="754C1AAF"/>
    <w:rsid w:val="76696D01"/>
    <w:rsid w:val="76991F3B"/>
    <w:rsid w:val="76BD4E1F"/>
    <w:rsid w:val="76D8737F"/>
    <w:rsid w:val="76E279D7"/>
    <w:rsid w:val="7718204C"/>
    <w:rsid w:val="772E0626"/>
    <w:rsid w:val="7752184A"/>
    <w:rsid w:val="7754709D"/>
    <w:rsid w:val="776E285A"/>
    <w:rsid w:val="77B02D8D"/>
    <w:rsid w:val="77B23404"/>
    <w:rsid w:val="77C0093D"/>
    <w:rsid w:val="77C90B9C"/>
    <w:rsid w:val="78204380"/>
    <w:rsid w:val="78384CBC"/>
    <w:rsid w:val="784258BF"/>
    <w:rsid w:val="793758F2"/>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254C1B"/>
    <w:rsid w:val="7E630B4F"/>
    <w:rsid w:val="7E8B6D0C"/>
    <w:rsid w:val="7EAE4458"/>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9B5B53C8-48A5-44AD-B897-E90CB0B8E3EC}">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23</TotalTime>
  <ScaleCrop>false</ScaleCrop>
  <LinksUpToDate>false</LinksUpToDate>
  <CharactersWithSpaces>6449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2020-05-14T13:08:45Z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